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06B2" w14:textId="77777777" w:rsidR="007043FF" w:rsidRPr="007043FF" w:rsidRDefault="007043FF" w:rsidP="007043FF">
      <w:pPr>
        <w:spacing w:after="0" w:line="0" w:lineRule="atLeast"/>
        <w:ind w:left="2860"/>
        <w:rPr>
          <w:rFonts w:ascii="Calibri Light" w:eastAsia="Calibri" w:hAnsi="Calibri Light" w:cs="Calibri Light"/>
          <w:b/>
          <w:color w:val="0D0D0D" w:themeColor="text1" w:themeTint="F2"/>
          <w:kern w:val="0"/>
          <w:sz w:val="32"/>
          <w:szCs w:val="32"/>
          <w:lang w:eastAsia="it-IT"/>
          <w14:ligatures w14:val="none"/>
        </w:rPr>
      </w:pPr>
      <w:bookmarkStart w:id="0" w:name="_Hlk38719875"/>
      <w:r w:rsidRPr="007043FF">
        <w:rPr>
          <w:rFonts w:ascii="Calibri Light" w:eastAsia="Calibri" w:hAnsi="Calibri Light" w:cs="Calibri Light"/>
          <w:b/>
          <w:color w:val="0D0D0D" w:themeColor="text1" w:themeTint="F2"/>
          <w:kern w:val="0"/>
          <w:sz w:val="32"/>
          <w:szCs w:val="32"/>
          <w:lang w:eastAsia="it-IT"/>
          <w14:ligatures w14:val="none"/>
        </w:rPr>
        <w:t>FONDAZIONE R.I.G.E.L.  ETS</w:t>
      </w:r>
    </w:p>
    <w:p w14:paraId="1D86C092" w14:textId="77777777" w:rsidR="007043FF" w:rsidRPr="007043FF" w:rsidRDefault="007043FF" w:rsidP="007043FF">
      <w:pPr>
        <w:spacing w:after="0" w:line="9" w:lineRule="exact"/>
        <w:rPr>
          <w:rFonts w:ascii="Calibri Light" w:eastAsia="Times New Roman" w:hAnsi="Calibri Light" w:cs="Calibri Light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</w:p>
    <w:p w14:paraId="559655B6" w14:textId="77777777" w:rsidR="007043FF" w:rsidRPr="007043FF" w:rsidRDefault="007043FF" w:rsidP="007043FF">
      <w:pPr>
        <w:spacing w:after="0" w:line="0" w:lineRule="atLeast"/>
        <w:ind w:right="-20"/>
        <w:jc w:val="center"/>
        <w:rPr>
          <w:rFonts w:ascii="Calibri Light" w:eastAsia="Calibri" w:hAnsi="Calibri Light" w:cs="Calibri Light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 Light" w:eastAsia="Calibri" w:hAnsi="Calibri Light" w:cs="Calibri Light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        </w:t>
      </w:r>
    </w:p>
    <w:p w14:paraId="03631B8F" w14:textId="77777777" w:rsidR="007043FF" w:rsidRPr="007043FF" w:rsidRDefault="007043FF" w:rsidP="007043FF">
      <w:pPr>
        <w:spacing w:after="0" w:line="200" w:lineRule="exact"/>
        <w:rPr>
          <w:rFonts w:ascii="Calibri Light" w:eastAsia="Calibri" w:hAnsi="Calibri Light" w:cs="Calibri Light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</w:p>
    <w:bookmarkEnd w:id="0"/>
    <w:p w14:paraId="0C24FAC5" w14:textId="77777777" w:rsidR="007043FF" w:rsidRPr="007043FF" w:rsidRDefault="007043FF" w:rsidP="007043FF">
      <w:pPr>
        <w:spacing w:after="0" w:line="320" w:lineRule="exact"/>
        <w:jc w:val="center"/>
        <w:rPr>
          <w:rFonts w:ascii="Calibri" w:eastAsia="Calibri" w:hAnsi="Calibri" w:cs="Calibri"/>
          <w:b/>
          <w:bCs/>
          <w:color w:val="0D0D0D" w:themeColor="text1" w:themeTint="F2"/>
          <w:kern w:val="0"/>
          <w:sz w:val="28"/>
          <w:szCs w:val="28"/>
          <w:lang w:eastAsia="it-IT"/>
          <w14:ligatures w14:val="none"/>
        </w:rPr>
      </w:pPr>
      <w:r w:rsidRPr="007043FF">
        <w:rPr>
          <w:rFonts w:ascii="Calibri" w:eastAsia="Calibri" w:hAnsi="Calibri" w:cs="Calibri"/>
          <w:b/>
          <w:bCs/>
          <w:color w:val="0D0D0D" w:themeColor="text1" w:themeTint="F2"/>
          <w:kern w:val="0"/>
          <w:sz w:val="28"/>
          <w:szCs w:val="28"/>
          <w:lang w:eastAsia="it-IT"/>
          <w14:ligatures w14:val="none"/>
        </w:rPr>
        <w:t>TERMINI E CONDIZIONI PER IL CONFERIMENTO DELLA QUALIFICA DI SOSTENITORE</w:t>
      </w:r>
    </w:p>
    <w:p w14:paraId="01B5056D" w14:textId="77777777" w:rsidR="007043FF" w:rsidRPr="007043FF" w:rsidRDefault="007043FF" w:rsidP="007043FF">
      <w:pPr>
        <w:spacing w:after="0" w:line="320" w:lineRule="exact"/>
        <w:rPr>
          <w:rFonts w:ascii="Calibri" w:eastAsia="Calibri" w:hAnsi="Calibri" w:cs="Calibri"/>
          <w:b/>
          <w:bCs/>
          <w:color w:val="0D0D0D" w:themeColor="text1" w:themeTint="F2"/>
          <w:kern w:val="0"/>
          <w:sz w:val="20"/>
          <w:szCs w:val="20"/>
          <w:lang w:eastAsia="it-IT"/>
          <w14:ligatures w14:val="none"/>
        </w:rPr>
      </w:pPr>
    </w:p>
    <w:p w14:paraId="7BB551B6" w14:textId="1DE147BF" w:rsidR="007043FF" w:rsidRPr="007043FF" w:rsidRDefault="007043FF" w:rsidP="007043FF">
      <w:pPr>
        <w:spacing w:after="0" w:line="320" w:lineRule="exact"/>
        <w:jc w:val="both"/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La Fondazione R.I.G.E.L. ETS non ha scopo di lucro e persegue finalità civiche, solidaristiche e di utilità sociale, ovvero di pubblica utilità, mediante lo svolgimento, in via esclusiva o quantomeno principale, di una o più attività di interesse generale di cui all'articolo 5, comma 1 del Codice del Terzo Settore.</w:t>
      </w:r>
    </w:p>
    <w:p w14:paraId="760CA29C" w14:textId="696F790B" w:rsidR="007043FF" w:rsidRPr="007043FF" w:rsidRDefault="007043FF" w:rsidP="007043FF">
      <w:pPr>
        <w:spacing w:after="0" w:line="320" w:lineRule="exact"/>
        <w:jc w:val="both"/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Lo Statuto della Fondazione prevede la partecipazione con la qualifica di SOSTENITORE, che viene conferita dal Consiglio di amministrazione a soggetti pubblici o privati che ne facciano domanda e che, condividendone gli scopi, partecipano alle attività della Fondazione e contribuiscono al Fondo di gestione della </w:t>
      </w:r>
      <w:r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stessa</w:t>
      </w: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 su base pluriennale, mediante apporti in denaro o natura o prestazioni d’opera. </w:t>
      </w:r>
    </w:p>
    <w:p w14:paraId="5DC71F4D" w14:textId="77777777" w:rsidR="007043FF" w:rsidRPr="007043FF" w:rsidRDefault="007043FF" w:rsidP="007043FF">
      <w:pPr>
        <w:spacing w:after="0" w:line="320" w:lineRule="exact"/>
        <w:jc w:val="center"/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</w:p>
    <w:p w14:paraId="3B08A4B7" w14:textId="77777777" w:rsidR="007043FF" w:rsidRPr="007043FF" w:rsidRDefault="007043FF" w:rsidP="007043FF">
      <w:pPr>
        <w:spacing w:after="0" w:line="320" w:lineRule="exact"/>
        <w:jc w:val="both"/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Pertanto, coloro che chiedono di essere ammessi come SOSTENITORI:</w:t>
      </w:r>
    </w:p>
    <w:p w14:paraId="55A3CEDB" w14:textId="77777777" w:rsidR="007043FF" w:rsidRPr="007043FF" w:rsidRDefault="007043FF" w:rsidP="007043FF">
      <w:pPr>
        <w:numPr>
          <w:ilvl w:val="0"/>
          <w:numId w:val="1"/>
        </w:numPr>
        <w:spacing w:after="0" w:line="320" w:lineRule="exact"/>
        <w:contextualSpacing/>
        <w:jc w:val="both"/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condividono valori e scopi della Fondazione;</w:t>
      </w:r>
    </w:p>
    <w:p w14:paraId="08438140" w14:textId="77777777" w:rsidR="007043FF" w:rsidRPr="007043FF" w:rsidRDefault="007043FF" w:rsidP="007043FF">
      <w:pPr>
        <w:numPr>
          <w:ilvl w:val="0"/>
          <w:numId w:val="1"/>
        </w:numPr>
        <w:spacing w:after="0" w:line="320" w:lineRule="exact"/>
        <w:contextualSpacing/>
        <w:jc w:val="both"/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s’impegnano ad accettare e seguire norme e regole previste dallo Statuto, di cui hanno preso visione, o successivamente deliberate dall’Assemblea e/o dal Consiglio di amministrazione;</w:t>
      </w:r>
    </w:p>
    <w:p w14:paraId="20C237FD" w14:textId="6C93402D" w:rsidR="007043FF" w:rsidRPr="007043FF" w:rsidRDefault="007043FF" w:rsidP="007043FF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s’impegnano, per tutta la durata della propria partecipazione, a contribuire al fondo di gestione della Fondazione secondo quanto approvato dal Consiglio di amministrazione in ordine alla misura e alle modalità degli apporti </w:t>
      </w:r>
      <w:r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(</w:t>
      </w: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in denaro o natura o prestazione d’opera</w:t>
      </w:r>
      <w:r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)</w:t>
      </w: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 proposti </w:t>
      </w:r>
      <w:r w:rsidR="00263764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nella domanda di ammissione</w:t>
      </w: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; </w:t>
      </w:r>
    </w:p>
    <w:p w14:paraId="55EAA02D" w14:textId="77777777" w:rsidR="007043FF" w:rsidRPr="007043FF" w:rsidRDefault="007043FF" w:rsidP="007043FF">
      <w:pPr>
        <w:numPr>
          <w:ilvl w:val="0"/>
          <w:numId w:val="1"/>
        </w:numPr>
        <w:spacing w:after="0" w:line="320" w:lineRule="exact"/>
        <w:contextualSpacing/>
        <w:jc w:val="both"/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dichiarano di aver letto l’informativa ex art. 13 del Regolamento UE 2016/679, riprodotta di seguito;     </w:t>
      </w:r>
    </w:p>
    <w:p w14:paraId="250FD230" w14:textId="77777777" w:rsidR="007043FF" w:rsidRPr="007043FF" w:rsidRDefault="007043FF" w:rsidP="007043FF">
      <w:pPr>
        <w:numPr>
          <w:ilvl w:val="0"/>
          <w:numId w:val="1"/>
        </w:numPr>
        <w:spacing w:after="0" w:line="320" w:lineRule="exact"/>
        <w:contextualSpacing/>
        <w:jc w:val="both"/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dichiarano di essere pertanto informati sulle finalità e le modalità di trattamento cui sono destinati i dati, i soggetti a cui gli stessi potranno essere comunicati, anche in qualità di incaricati, nonché sui diritti di accesso ai dati personali forniti con facoltà di chiederne l’aggiornamento, la rettifica, l’integrazione e la cancellazione;</w:t>
      </w:r>
    </w:p>
    <w:p w14:paraId="6AFF4E3B" w14:textId="77777777" w:rsidR="007043FF" w:rsidRPr="007043FF" w:rsidRDefault="007043FF" w:rsidP="007043FF">
      <w:pPr>
        <w:numPr>
          <w:ilvl w:val="0"/>
          <w:numId w:val="1"/>
        </w:numPr>
        <w:spacing w:after="0" w:line="320" w:lineRule="exact"/>
        <w:contextualSpacing/>
        <w:jc w:val="both"/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esprimono il loro consenso al trattamento dei dati personali nelle modalità e per le finalità strettamente connesse e strumentali ai fini statutari della Fondazione.</w:t>
      </w:r>
    </w:p>
    <w:p w14:paraId="5F69229F" w14:textId="77777777" w:rsidR="007043FF" w:rsidRPr="007043FF" w:rsidRDefault="007043FF" w:rsidP="007043FF">
      <w:pPr>
        <w:spacing w:after="0" w:line="320" w:lineRule="exact"/>
        <w:jc w:val="both"/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</w:p>
    <w:p w14:paraId="5F620AE5" w14:textId="77777777" w:rsidR="007043FF" w:rsidRPr="007043FF" w:rsidRDefault="007043FF" w:rsidP="007043FF">
      <w:pPr>
        <w:spacing w:after="200" w:line="276" w:lineRule="auto"/>
        <w:jc w:val="both"/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</w:p>
    <w:p w14:paraId="4F48EAED" w14:textId="77777777" w:rsidR="007043FF" w:rsidRPr="007043FF" w:rsidRDefault="007043FF" w:rsidP="007043FF">
      <w:pPr>
        <w:spacing w:after="200" w:line="276" w:lineRule="auto"/>
        <w:jc w:val="both"/>
        <w:rPr>
          <w:rFonts w:ascii="Calibri" w:eastAsia="Times New Roman" w:hAnsi="Calibri" w:cs="Times New Roman"/>
          <w:b/>
          <w:color w:val="0D0D0D" w:themeColor="text1" w:themeTint="F2"/>
          <w:kern w:val="0"/>
          <w:sz w:val="28"/>
          <w:szCs w:val="28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8"/>
          <w:szCs w:val="28"/>
          <w:lang w:eastAsia="it-IT"/>
          <w14:ligatures w14:val="none"/>
        </w:rPr>
        <w:t>INFORMATIVA ai sensi dell’art. 13 D.lgs. n. 196/2003 (CODICE PRIVACY)</w:t>
      </w:r>
    </w:p>
    <w:p w14:paraId="3B6969FA" w14:textId="36F18C9E" w:rsidR="007043FF" w:rsidRPr="007043FF" w:rsidRDefault="007043FF" w:rsidP="007043FF">
      <w:pPr>
        <w:spacing w:after="200" w:line="276" w:lineRule="auto"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Ai sensi dell’art. 13 D.lgs. 196/2003 (di seguito T.U.), e in relazione ai dati personali di cui la Fondazione R.I.G.E.L. ETS entrerà in possesso, informiamo gli aspiranti sostenitori di quanto segue:</w:t>
      </w:r>
    </w:p>
    <w:p w14:paraId="56137A87" w14:textId="28BE9508" w:rsidR="007043FF" w:rsidRPr="007043FF" w:rsidRDefault="007043FF" w:rsidP="007043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lang w:eastAsia="it-IT"/>
          <w14:ligatures w14:val="none"/>
        </w:rPr>
        <w:t>Finalità del trattamento dei dati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. Il trattamento è finalizzato unicamente alla corretta e completa gestione della domanda di ammissione a SOSTENITORE e della sua partecipazione, in tale qualità, alla Fondazione RIGEL, </w:t>
      </w:r>
      <w:bookmarkStart w:id="1" w:name="_Hlk158138095"/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compreso l’invio al medesimo sia</w:t>
      </w: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 di richieste di informazioni, anche mediante questionari, sia di comunicazioni inerenti </w:t>
      </w:r>
      <w:r w:rsidR="00E90574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al</w:t>
      </w:r>
      <w:r w:rsidRPr="007043FF">
        <w:rPr>
          <w:rFonts w:ascii="Calibri" w:eastAsia="Calibri" w:hAnsi="Calibri" w:cs="Calibri"/>
          <w:color w:val="0D0D0D" w:themeColor="text1" w:themeTint="F2"/>
          <w:kern w:val="0"/>
          <w:sz w:val="24"/>
          <w:szCs w:val="24"/>
          <w:lang w:eastAsia="it-IT"/>
          <w14:ligatures w14:val="none"/>
        </w:rPr>
        <w:t>l’attività della Fondazione</w:t>
      </w:r>
      <w:bookmarkEnd w:id="1"/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.</w:t>
      </w:r>
    </w:p>
    <w:p w14:paraId="44507DA9" w14:textId="77777777" w:rsidR="007043FF" w:rsidRPr="007043FF" w:rsidRDefault="007043FF" w:rsidP="007043FF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</w:p>
    <w:p w14:paraId="5EF19675" w14:textId="77777777" w:rsidR="007043FF" w:rsidRPr="007043FF" w:rsidRDefault="007043FF" w:rsidP="007043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lang w:eastAsia="it-IT"/>
          <w14:ligatures w14:val="none"/>
        </w:rPr>
        <w:t>Modalità del trattamento dei dati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525ED14" w14:textId="367F601F" w:rsidR="007043FF" w:rsidRPr="007043FF" w:rsidRDefault="007043FF" w:rsidP="007043F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bookmarkStart w:id="2" w:name="_Hlk158138233"/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Il trattamento è realizzato per mezzo delle operazioni o complesso di operazioni indicate all’art, 4 comma 1 lett. </w:t>
      </w:r>
      <w:r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a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) T.U.: raccolta, registrazione, organizzazione, conservazione, consultazione, elaborazione, modificazione, selezione, estrazione, raffronto, utilizzo, interconnessione, blocco, comunicazione, cancellazione e distruzione dei dati;</w:t>
      </w:r>
    </w:p>
    <w:p w14:paraId="4B050BA8" w14:textId="77777777" w:rsidR="007043FF" w:rsidRPr="007043FF" w:rsidRDefault="007043FF" w:rsidP="007043F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Le operazioni possono essere svolte con o senza l’ausilio di strumenti elettronici o comunque automatizzati</w:t>
      </w:r>
    </w:p>
    <w:p w14:paraId="1B9CFB62" w14:textId="2E9E7967" w:rsidR="007043FF" w:rsidRPr="007043FF" w:rsidRDefault="007043FF" w:rsidP="007043F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I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l trattamento è svolto dal titolare e/o dagli incaricati del trattamento.</w:t>
      </w:r>
      <w:bookmarkEnd w:id="2"/>
    </w:p>
    <w:p w14:paraId="70649FC9" w14:textId="77777777" w:rsidR="007043FF" w:rsidRPr="007043FF" w:rsidRDefault="007043FF" w:rsidP="007043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lang w:eastAsia="it-IT"/>
          <w14:ligatures w14:val="none"/>
        </w:rPr>
        <w:t>Conferimento dei dati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. IL conferimento dei dati personali comuni, sensibili e giudiziari è strettamente necessario ai fini dello svolgimento delle attività di cui al punto 1.</w:t>
      </w:r>
    </w:p>
    <w:p w14:paraId="5F52E345" w14:textId="77777777" w:rsidR="007043FF" w:rsidRPr="007043FF" w:rsidRDefault="007043FF" w:rsidP="007043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lang w:eastAsia="it-IT"/>
          <w14:ligatures w14:val="none"/>
        </w:rPr>
        <w:t>Rifiuto di conferimento dei dati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. L’eventuale rifiuto da parte dell’interessato di conferire dati personali nel caso di cui al punto 3 comporta l’impossibilità di adempiere alle attività di cui al punto 1.</w:t>
      </w:r>
    </w:p>
    <w:p w14:paraId="09E5B4A6" w14:textId="77777777" w:rsidR="007043FF" w:rsidRPr="007043FF" w:rsidRDefault="007043FF" w:rsidP="007043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lang w:eastAsia="it-IT"/>
          <w14:ligatures w14:val="none"/>
        </w:rPr>
        <w:t>Comunicazione dei dati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. I dati personali possono venire a conoscenza degli incaricati del trattamento e possono essere comunicati per le finalità di cui al punto 1 a collaboratori esterni, soggetti operanti nel settore giudiziario, alle controparti e relativi difensori, a collegi di arbitri e, in genere, a tutti quei soggetti pubblici e privati cui la comunicazione sia necessaria per il corretto adempimento delle finalità indicate nel punto 1.</w:t>
      </w:r>
    </w:p>
    <w:p w14:paraId="4C4FEAF8" w14:textId="77777777" w:rsidR="007043FF" w:rsidRPr="007043FF" w:rsidRDefault="007043FF" w:rsidP="007043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lang w:eastAsia="it-IT"/>
          <w14:ligatures w14:val="none"/>
        </w:rPr>
        <w:t>Diffusione dei dati</w:t>
      </w: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u w:val="single"/>
          <w:lang w:eastAsia="it-IT"/>
          <w14:ligatures w14:val="none"/>
        </w:rPr>
        <w:t>.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 I dati personali non sono soggetti a diffusione.</w:t>
      </w:r>
    </w:p>
    <w:p w14:paraId="30F5FB72" w14:textId="77777777" w:rsidR="007043FF" w:rsidRPr="007043FF" w:rsidRDefault="007043FF" w:rsidP="007043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lang w:eastAsia="it-IT"/>
          <w14:ligatures w14:val="none"/>
        </w:rPr>
        <w:t>Trasferimento dei dati all’estero</w:t>
      </w: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u w:val="single"/>
          <w:lang w:eastAsia="it-IT"/>
          <w14:ligatures w14:val="none"/>
        </w:rPr>
        <w:t>.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 I dati personali possono essere trasferiti verso Paesi dell’Unione Europea e verso Paesi terzi rispetto all’Unione Europea nell’ambito delle finalità di cui al punto 1.</w:t>
      </w:r>
    </w:p>
    <w:p w14:paraId="67BC0599" w14:textId="77777777" w:rsidR="007043FF" w:rsidRPr="007043FF" w:rsidRDefault="007043FF" w:rsidP="007043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lang w:eastAsia="it-IT"/>
          <w14:ligatures w14:val="none"/>
        </w:rPr>
        <w:t>Diritti dell’interessato</w:t>
      </w: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u w:val="single"/>
          <w:lang w:eastAsia="it-IT"/>
          <w14:ligatures w14:val="none"/>
        </w:rPr>
        <w:t>.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 L’art. 7 T.U. conferisce all’interessato l’esercizio di specifici diritti, tra cui quello di ottenere dal titolare la conferma dell’esistenza o meno dei propri dati personali e la loro messa a disposizione in forma intelligibile; l’interessato ha diritto di avere conoscenza dell’origine dei dati, della finalità e delle modalità del trattamento, della logica applicata al trattamento, degli estremi identificativi del titolare e dei soggetti i cui dati possono essere comunicati; l’interessato ha inoltre diritto di ottenere l’aggiornamento, la rettificazione e l’integrazione dei dati, la cancellazione, la trasformazione in forma anonima o il blocco dei dati trattati in violazione della legge; il titolare ha il diritto di opporsi, per motivi legittimi, al trattamento dei dati.</w:t>
      </w:r>
    </w:p>
    <w:p w14:paraId="756C4171" w14:textId="55AF17BE" w:rsidR="007043FF" w:rsidRDefault="007043FF" w:rsidP="007043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lang w:eastAsia="it-IT"/>
          <w14:ligatures w14:val="none"/>
        </w:rPr>
        <w:t>Titolare del trattamento.</w:t>
      </w:r>
      <w:r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 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Il titolare del trattamento dei dati è l’</w:t>
      </w:r>
      <w:r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a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vv. Antonella Ninci, Presidente del Cd</w:t>
      </w:r>
      <w:r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a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 della Fondazione (</w:t>
      </w:r>
      <w:hyperlink r:id="rId7" w:history="1">
        <w:r w:rsidRPr="007043FF">
          <w:rPr>
            <w:rStyle w:val="Collegamentoipertestuale"/>
            <w:rFonts w:ascii="Calibri" w:eastAsia="Times New Roman" w:hAnsi="Calibri" w:cs="Times New Roman"/>
            <w:color w:val="4B8090" w:themeColor="hyperlink" w:themeTint="F2"/>
            <w:kern w:val="0"/>
            <w:sz w:val="24"/>
            <w:szCs w:val="24"/>
            <w:lang w:eastAsia="it-IT"/>
            <w14:ligatures w14:val="none"/>
          </w:rPr>
          <w:t>a.ninci@fondazionerigel.it</w:t>
        </w:r>
      </w:hyperlink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)</w:t>
      </w:r>
    </w:p>
    <w:p w14:paraId="49DF34E1" w14:textId="73E56904" w:rsidR="007043FF" w:rsidRPr="007043FF" w:rsidRDefault="007043FF" w:rsidP="007043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</w:pPr>
      <w:r w:rsidRPr="007043FF">
        <w:rPr>
          <w:rFonts w:ascii="Calibri" w:eastAsia="Times New Roman" w:hAnsi="Calibri" w:cs="Times New Roman"/>
          <w:b/>
          <w:color w:val="0D0D0D" w:themeColor="text1" w:themeTint="F2"/>
          <w:kern w:val="0"/>
          <w:sz w:val="24"/>
          <w:szCs w:val="24"/>
          <w:lang w:eastAsia="it-IT"/>
          <w14:ligatures w14:val="none"/>
        </w:rPr>
        <w:t>Responsabile del trattamento dati</w:t>
      </w:r>
      <w:r w:rsidRPr="007043FF">
        <w:rPr>
          <w:rFonts w:ascii="Calibri" w:eastAsia="Times New Roman" w:hAnsi="Calibri" w:cs="Times New Roman"/>
          <w:bCs/>
          <w:color w:val="0D0D0D" w:themeColor="text1" w:themeTint="F2"/>
          <w:kern w:val="0"/>
          <w:sz w:val="24"/>
          <w:szCs w:val="24"/>
          <w:lang w:eastAsia="it-IT"/>
          <w14:ligatures w14:val="none"/>
        </w:rPr>
        <w:t>. Il responsabile del trattamento è il dott. Michele Mochi Sismondi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 (</w:t>
      </w:r>
      <w:hyperlink r:id="rId8" w:history="1">
        <w:r w:rsidRPr="007043FF">
          <w:rPr>
            <w:rStyle w:val="Collegamentoipertestuale"/>
            <w:rFonts w:ascii="Calibri" w:eastAsia="Times New Roman" w:hAnsi="Calibri" w:cs="Times New Roman"/>
            <w:color w:val="4B8090" w:themeColor="hyperlink" w:themeTint="F2"/>
            <w:kern w:val="0"/>
            <w:sz w:val="24"/>
            <w:szCs w:val="24"/>
            <w:lang w:eastAsia="it-IT"/>
            <w14:ligatures w14:val="none"/>
          </w:rPr>
          <w:t>c.msismondi@fondazionerigel.it</w:t>
        </w:r>
      </w:hyperlink>
      <w:r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 xml:space="preserve"> </w:t>
      </w:r>
      <w:r w:rsidRPr="007043FF">
        <w:rPr>
          <w:rFonts w:ascii="Calibri" w:eastAsia="Times New Roman" w:hAnsi="Calibri" w:cs="Times New Roman"/>
          <w:color w:val="0D0D0D" w:themeColor="text1" w:themeTint="F2"/>
          <w:kern w:val="0"/>
          <w:sz w:val="24"/>
          <w:szCs w:val="24"/>
          <w:lang w:eastAsia="it-IT"/>
          <w14:ligatures w14:val="none"/>
        </w:rPr>
        <w:t>)</w:t>
      </w:r>
    </w:p>
    <w:p w14:paraId="12FC882A" w14:textId="77777777" w:rsidR="007043FF" w:rsidRPr="007043FF" w:rsidRDefault="007043FF" w:rsidP="007043FF">
      <w:pPr>
        <w:spacing w:after="0" w:line="240" w:lineRule="auto"/>
        <w:rPr>
          <w:rFonts w:ascii="Calibri" w:eastAsia="Calibri" w:hAnsi="Calibri" w:cs="Calibri"/>
          <w:color w:val="0D0D0D" w:themeColor="text1" w:themeTint="F2"/>
          <w:kern w:val="0"/>
          <w:sz w:val="20"/>
          <w:szCs w:val="20"/>
          <w:lang w:eastAsia="it-IT"/>
          <w14:ligatures w14:val="none"/>
        </w:rPr>
      </w:pPr>
    </w:p>
    <w:p w14:paraId="23B0A8CB" w14:textId="77777777" w:rsidR="00C50433" w:rsidRDefault="00C50433"/>
    <w:sectPr w:rsidR="00C50433" w:rsidSect="007222E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6B23" w14:textId="77777777" w:rsidR="007222EA" w:rsidRDefault="007222EA">
      <w:pPr>
        <w:spacing w:after="0" w:line="240" w:lineRule="auto"/>
      </w:pPr>
      <w:r>
        <w:separator/>
      </w:r>
    </w:p>
  </w:endnote>
  <w:endnote w:type="continuationSeparator" w:id="0">
    <w:p w14:paraId="7E56B860" w14:textId="77777777" w:rsidR="007222EA" w:rsidRDefault="0072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1432" w14:textId="77777777" w:rsidR="007222EA" w:rsidRDefault="007222EA">
      <w:pPr>
        <w:spacing w:after="0" w:line="240" w:lineRule="auto"/>
      </w:pPr>
      <w:r>
        <w:separator/>
      </w:r>
    </w:p>
  </w:footnote>
  <w:footnote w:type="continuationSeparator" w:id="0">
    <w:p w14:paraId="428F5119" w14:textId="77777777" w:rsidR="007222EA" w:rsidRDefault="0072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605C" w14:textId="77777777" w:rsidR="0001718C" w:rsidRDefault="0001718C" w:rsidP="00B71ABE">
    <w:pPr>
      <w:jc w:val="center"/>
      <w:rPr>
        <w:b/>
        <w:sz w:val="44"/>
      </w:rPr>
    </w:pPr>
  </w:p>
  <w:p w14:paraId="127DB6F7" w14:textId="77777777" w:rsidR="0001718C" w:rsidRDefault="0001718C" w:rsidP="005B67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0896"/>
    <w:multiLevelType w:val="hybridMultilevel"/>
    <w:tmpl w:val="071AA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41461"/>
    <w:multiLevelType w:val="hybridMultilevel"/>
    <w:tmpl w:val="DDDCCCB0"/>
    <w:lvl w:ilvl="0" w:tplc="13BED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B5A02"/>
    <w:multiLevelType w:val="hybridMultilevel"/>
    <w:tmpl w:val="7E04E8C4"/>
    <w:lvl w:ilvl="0" w:tplc="501A71A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272514213">
    <w:abstractNumId w:val="2"/>
  </w:num>
  <w:num w:numId="2" w16cid:durableId="560210272">
    <w:abstractNumId w:val="1"/>
  </w:num>
  <w:num w:numId="3" w16cid:durableId="69385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FF"/>
    <w:rsid w:val="0001718C"/>
    <w:rsid w:val="00263764"/>
    <w:rsid w:val="007043FF"/>
    <w:rsid w:val="007222EA"/>
    <w:rsid w:val="008E4071"/>
    <w:rsid w:val="009C2173"/>
    <w:rsid w:val="00C50433"/>
    <w:rsid w:val="00E9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9F97"/>
  <w15:chartTrackingRefBased/>
  <w15:docId w15:val="{57AF4CB5-C7E2-4E3B-9EB4-283C785F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4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4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4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4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4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4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4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4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4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4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4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4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43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43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43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43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43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43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4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4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4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4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4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43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43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43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4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43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43F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4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43FF"/>
  </w:style>
  <w:style w:type="character" w:styleId="Collegamentoipertestuale">
    <w:name w:val="Hyperlink"/>
    <w:basedOn w:val="Carpredefinitoparagrafo"/>
    <w:uiPriority w:val="99"/>
    <w:unhideWhenUsed/>
    <w:rsid w:val="007043F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4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sismondi@fondazionerige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ninci@fondazionerige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Stancati</dc:creator>
  <cp:keywords/>
  <dc:description/>
  <cp:lastModifiedBy>Marco Stancati</cp:lastModifiedBy>
  <cp:revision>3</cp:revision>
  <dcterms:created xsi:type="dcterms:W3CDTF">2024-02-08T20:15:00Z</dcterms:created>
  <dcterms:modified xsi:type="dcterms:W3CDTF">2024-02-08T20:51:00Z</dcterms:modified>
</cp:coreProperties>
</file>